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920D" w14:textId="7C95E920" w:rsidR="00083C0C" w:rsidRPr="000F458D" w:rsidRDefault="00083C0C" w:rsidP="00083C0C">
      <w:pPr>
        <w:spacing w:line="360" w:lineRule="auto"/>
        <w:rPr>
          <w:rFonts w:ascii="Georgia" w:hAnsi="Georgia"/>
          <w:sz w:val="22"/>
          <w:szCs w:val="22"/>
        </w:rPr>
      </w:pPr>
      <w:r w:rsidRPr="000F458D">
        <w:rPr>
          <w:rFonts w:ascii="Georgia" w:hAnsi="Georgia"/>
          <w:sz w:val="22"/>
          <w:szCs w:val="22"/>
        </w:rPr>
        <w:t xml:space="preserve">Thursday 29 October sees the final </w:t>
      </w:r>
      <w:r w:rsidR="000F458D" w:rsidRPr="000F458D">
        <w:rPr>
          <w:rFonts w:ascii="Georgia" w:hAnsi="Georgia"/>
          <w:sz w:val="22"/>
          <w:szCs w:val="22"/>
        </w:rPr>
        <w:t>instalment</w:t>
      </w:r>
      <w:r w:rsidRPr="000F458D">
        <w:rPr>
          <w:rFonts w:ascii="Georgia" w:hAnsi="Georgia"/>
          <w:sz w:val="22"/>
          <w:szCs w:val="22"/>
        </w:rPr>
        <w:t xml:space="preserve"> of </w:t>
      </w:r>
      <w:r w:rsidRPr="000F458D">
        <w:rPr>
          <w:rFonts w:ascii="Georgia" w:hAnsi="Georgia"/>
          <w:i/>
          <w:iCs/>
          <w:sz w:val="22"/>
          <w:szCs w:val="22"/>
        </w:rPr>
        <w:t>Between the Lines</w:t>
      </w:r>
      <w:r w:rsidRPr="000F458D">
        <w:rPr>
          <w:rFonts w:ascii="Georgia" w:hAnsi="Georgia"/>
          <w:sz w:val="22"/>
          <w:szCs w:val="22"/>
        </w:rPr>
        <w:t xml:space="preserve">, the musical book club in collaboration with the </w:t>
      </w:r>
      <w:hyperlink r:id="rId4" w:history="1">
        <w:r w:rsidRPr="000F458D">
          <w:rPr>
            <w:rStyle w:val="Hyperlink"/>
            <w:rFonts w:ascii="Georgia" w:hAnsi="Georgia"/>
            <w:sz w:val="22"/>
            <w:szCs w:val="22"/>
          </w:rPr>
          <w:t>New Zealand String Quartet</w:t>
        </w:r>
      </w:hyperlink>
      <w:r w:rsidRPr="000F458D">
        <w:rPr>
          <w:rFonts w:ascii="Georgia" w:hAnsi="Georgia"/>
          <w:sz w:val="22"/>
          <w:szCs w:val="22"/>
        </w:rPr>
        <w:t xml:space="preserve"> and Orchestra Wellington. This week, musicians from </w:t>
      </w:r>
      <w:hyperlink r:id="rId5" w:history="1">
        <w:r w:rsidRPr="000F458D">
          <w:rPr>
            <w:rStyle w:val="Hyperlink"/>
            <w:rFonts w:ascii="Georgia" w:hAnsi="Georgia"/>
            <w:sz w:val="22"/>
            <w:szCs w:val="22"/>
          </w:rPr>
          <w:t>Orchestra Wellington</w:t>
        </w:r>
      </w:hyperlink>
      <w:r w:rsidRPr="000F458D">
        <w:rPr>
          <w:rFonts w:ascii="Georgia" w:hAnsi="Georgia"/>
          <w:sz w:val="22"/>
          <w:szCs w:val="22"/>
        </w:rPr>
        <w:t xml:space="preserve"> will perform </w:t>
      </w:r>
      <w:r w:rsidRPr="000F458D">
        <w:rPr>
          <w:rFonts w:ascii="Georgia" w:hAnsi="Georgia"/>
          <w:i/>
          <w:iCs/>
          <w:sz w:val="22"/>
          <w:szCs w:val="22"/>
        </w:rPr>
        <w:t>Façade</w:t>
      </w:r>
      <w:r w:rsidRPr="000F458D">
        <w:rPr>
          <w:rFonts w:ascii="Georgia" w:hAnsi="Georgia"/>
          <w:sz w:val="22"/>
          <w:szCs w:val="22"/>
        </w:rPr>
        <w:t xml:space="preserve">, a collaboration between the composer William Walton and poet Edith Sitwell that was first performed in 1923. Sitwell had been assembling the collection of poems that would become </w:t>
      </w:r>
      <w:r w:rsidRPr="000F458D">
        <w:rPr>
          <w:rFonts w:ascii="Georgia" w:hAnsi="Georgia"/>
          <w:i/>
          <w:iCs/>
          <w:sz w:val="22"/>
          <w:szCs w:val="22"/>
        </w:rPr>
        <w:t>Façade</w:t>
      </w:r>
      <w:r w:rsidRPr="000F458D">
        <w:rPr>
          <w:rFonts w:ascii="Georgia" w:hAnsi="Georgia"/>
          <w:sz w:val="22"/>
          <w:szCs w:val="22"/>
        </w:rPr>
        <w:t xml:space="preserve"> for </w:t>
      </w:r>
      <w:r w:rsidR="000F458D" w:rsidRPr="000F458D">
        <w:rPr>
          <w:rFonts w:ascii="Georgia" w:hAnsi="Georgia"/>
          <w:sz w:val="22"/>
          <w:szCs w:val="22"/>
        </w:rPr>
        <w:t>a while</w:t>
      </w:r>
      <w:r w:rsidRPr="000F458D">
        <w:rPr>
          <w:rFonts w:ascii="Georgia" w:hAnsi="Georgia"/>
          <w:sz w:val="22"/>
          <w:szCs w:val="22"/>
        </w:rPr>
        <w:t>, the work resulting from her desire to make a sharp move away from the predominant poetic trends of late nineteenth- and early-twentieth-century England. Sitwell explained:</w:t>
      </w:r>
    </w:p>
    <w:p w14:paraId="2E72D032" w14:textId="77777777" w:rsidR="00083C0C" w:rsidRPr="000F458D" w:rsidRDefault="00083C0C" w:rsidP="00083C0C">
      <w:pPr>
        <w:spacing w:line="360" w:lineRule="auto"/>
        <w:ind w:left="720"/>
        <w:rPr>
          <w:rFonts w:ascii="Georgia" w:hAnsi="Georgia"/>
          <w:sz w:val="22"/>
          <w:szCs w:val="22"/>
        </w:rPr>
      </w:pPr>
      <w:r w:rsidRPr="000F458D">
        <w:rPr>
          <w:rFonts w:ascii="Georgia" w:hAnsi="Georgia"/>
          <w:i/>
          <w:iCs/>
          <w:sz w:val="22"/>
          <w:szCs w:val="22"/>
        </w:rPr>
        <w:t>‘At the time I began to write, a change in the direction, imagery, and rhythms in poetry had become necessary, owing to the rhythmical flaccidity, the verbal deadness, the dead and expected patterns, of some of the poetry immediately preceding us.’</w:t>
      </w:r>
    </w:p>
    <w:p w14:paraId="05A9CEFB" w14:textId="77777777" w:rsidR="00083C0C" w:rsidRPr="000F458D" w:rsidRDefault="00083C0C" w:rsidP="00083C0C">
      <w:pPr>
        <w:spacing w:line="360" w:lineRule="auto"/>
        <w:rPr>
          <w:rFonts w:ascii="Georgia" w:hAnsi="Georgia"/>
          <w:sz w:val="22"/>
          <w:szCs w:val="22"/>
        </w:rPr>
      </w:pPr>
      <w:r w:rsidRPr="000F458D">
        <w:rPr>
          <w:rFonts w:ascii="Georgia" w:hAnsi="Georgia"/>
          <w:sz w:val="22"/>
          <w:szCs w:val="22"/>
        </w:rPr>
        <w:t>Sitwell cited the architect Le Corbusier (Charles-Édouard Jeanneret), who said that those living in the 'Machine Age' of the early twentieth century, constantly heard new sounds and rhythms in everyday life. As a result of this increased humming, ticking, and roaring, Le Corbusier believed 'new organs awake in us, another diapason, a new vision.' The newly ubiquitous hubbub of mechanisation meant that 'the noise was so round that one believed a change in acoustic functions was taking place.'</w:t>
      </w:r>
    </w:p>
    <w:p w14:paraId="5E762B3A" w14:textId="77777777" w:rsidR="00083C0C" w:rsidRPr="000F458D" w:rsidRDefault="00083C0C" w:rsidP="00083C0C">
      <w:pPr>
        <w:spacing w:line="360" w:lineRule="auto"/>
        <w:rPr>
          <w:rFonts w:ascii="Georgia" w:hAnsi="Georgia"/>
          <w:sz w:val="22"/>
          <w:szCs w:val="22"/>
        </w:rPr>
      </w:pPr>
      <w:r w:rsidRPr="000F458D">
        <w:rPr>
          <w:rFonts w:ascii="Georgia" w:hAnsi="Georgia"/>
          <w:sz w:val="22"/>
          <w:szCs w:val="22"/>
        </w:rPr>
        <w:t xml:space="preserve">Sitwell prioritised rhythm and assonance in her </w:t>
      </w:r>
      <w:r w:rsidRPr="000F458D">
        <w:rPr>
          <w:rFonts w:ascii="Georgia" w:hAnsi="Georgia"/>
          <w:i/>
          <w:iCs/>
          <w:sz w:val="22"/>
          <w:szCs w:val="22"/>
        </w:rPr>
        <w:t>Façade</w:t>
      </w:r>
      <w:r w:rsidRPr="000F458D">
        <w:rPr>
          <w:rFonts w:ascii="Georgia" w:hAnsi="Georgia"/>
          <w:sz w:val="22"/>
          <w:szCs w:val="22"/>
        </w:rPr>
        <w:t xml:space="preserve"> poems, believing that rhythm is 'one of the principal translators between dream and reality. Rhythm might be described as, to the world of sound, what light is to the world of sight. It shapes and gives new meaning.' She also intended her poems to be abstract (some reactionary critics labelled them 'nonsense' rather than abstract), calling them 'patterns in sound ... in many cases, virtuoso exercises in technique of an extreme difficulty in the same sense as that in which certain studies [for piano] by Liszt are studies in transcendental technique in music.'</w:t>
      </w:r>
    </w:p>
    <w:p w14:paraId="76654B2D" w14:textId="77777777" w:rsidR="00083C0C" w:rsidRPr="000F458D" w:rsidRDefault="00083C0C" w:rsidP="00083C0C">
      <w:pPr>
        <w:spacing w:line="360" w:lineRule="auto"/>
        <w:rPr>
          <w:rFonts w:ascii="Georgia" w:hAnsi="Georgia"/>
          <w:sz w:val="22"/>
          <w:szCs w:val="22"/>
        </w:rPr>
      </w:pPr>
      <w:r w:rsidRPr="000F458D">
        <w:rPr>
          <w:rFonts w:ascii="Georgia" w:hAnsi="Georgia"/>
          <w:sz w:val="22"/>
          <w:szCs w:val="22"/>
        </w:rPr>
        <w:t xml:space="preserve">Sitwell's work in </w:t>
      </w:r>
      <w:r w:rsidRPr="000F458D">
        <w:rPr>
          <w:rFonts w:ascii="Georgia" w:hAnsi="Georgia"/>
          <w:i/>
          <w:iCs/>
          <w:sz w:val="22"/>
          <w:szCs w:val="22"/>
        </w:rPr>
        <w:t>Façade</w:t>
      </w:r>
      <w:r w:rsidRPr="000F458D">
        <w:rPr>
          <w:rFonts w:ascii="Georgia" w:hAnsi="Georgia"/>
          <w:sz w:val="22"/>
          <w:szCs w:val="22"/>
        </w:rPr>
        <w:t xml:space="preserve"> had a scientific tilt, consisting of 'inquiries into the effect on rhythm and on speed in the use of rhymes, assonances, and dissonances, placed at the beginning and in the middle of lines, as well as at the end, and in the most elaborate patterns. I experimented, too, with the effect upon speed of the uses of equivalent syllables - a system that produces great variation.'</w:t>
      </w:r>
    </w:p>
    <w:p w14:paraId="2701E7E6" w14:textId="68E61920" w:rsidR="00083C0C" w:rsidRPr="000F458D" w:rsidRDefault="00083C0C" w:rsidP="00083C0C">
      <w:pPr>
        <w:spacing w:line="360" w:lineRule="auto"/>
        <w:rPr>
          <w:rFonts w:ascii="Georgia" w:hAnsi="Georgia"/>
          <w:sz w:val="22"/>
          <w:szCs w:val="22"/>
        </w:rPr>
      </w:pPr>
      <w:r w:rsidRPr="000F458D">
        <w:rPr>
          <w:rFonts w:ascii="Georgia" w:hAnsi="Georgia"/>
          <w:sz w:val="22"/>
          <w:szCs w:val="22"/>
        </w:rPr>
        <w:t xml:space="preserve">William Walton's music for </w:t>
      </w:r>
      <w:r w:rsidRPr="000F458D">
        <w:rPr>
          <w:rFonts w:ascii="Georgia" w:hAnsi="Georgia"/>
          <w:i/>
          <w:iCs/>
          <w:sz w:val="22"/>
          <w:szCs w:val="22"/>
        </w:rPr>
        <w:t>Façade</w:t>
      </w:r>
      <w:r w:rsidRPr="000F458D">
        <w:rPr>
          <w:rFonts w:ascii="Georgia" w:hAnsi="Georgia"/>
          <w:sz w:val="22"/>
          <w:szCs w:val="22"/>
        </w:rPr>
        <w:t xml:space="preserve"> was not a setting of Sitwell's verses in the manner of a song. Rather, the music provided a sonic backdrop against which the poetry would be recited. The human voice has an instrumental, even percussive, role. The synchronisation of verse and music is </w:t>
      </w:r>
      <w:r w:rsidR="000F458D" w:rsidRPr="000F458D">
        <w:rPr>
          <w:rFonts w:ascii="Georgia" w:hAnsi="Georgia"/>
          <w:sz w:val="22"/>
          <w:szCs w:val="22"/>
        </w:rPr>
        <w:t>a</w:t>
      </w:r>
      <w:r w:rsidRPr="000F458D">
        <w:rPr>
          <w:rFonts w:ascii="Georgia" w:hAnsi="Georgia"/>
          <w:sz w:val="22"/>
          <w:szCs w:val="22"/>
        </w:rPr>
        <w:t xml:space="preserve"> virtuosic feat, which the performers tested in a private performance at the </w:t>
      </w:r>
      <w:proofErr w:type="spellStart"/>
      <w:r w:rsidRPr="000F458D">
        <w:rPr>
          <w:rFonts w:ascii="Georgia" w:hAnsi="Georgia"/>
          <w:sz w:val="22"/>
          <w:szCs w:val="22"/>
        </w:rPr>
        <w:t>Sitwells</w:t>
      </w:r>
      <w:proofErr w:type="spellEnd"/>
      <w:r w:rsidRPr="000F458D">
        <w:rPr>
          <w:rFonts w:ascii="Georgia" w:hAnsi="Georgia"/>
          <w:sz w:val="22"/>
          <w:szCs w:val="22"/>
        </w:rPr>
        <w:t xml:space="preserve">' London home in January 1922. The following year, on 12 June 1923, came the public premiere, at which Sitwell recited the verse through a megaphone from behind a </w:t>
      </w:r>
      <w:r w:rsidRPr="000F458D">
        <w:rPr>
          <w:rFonts w:ascii="Georgia" w:hAnsi="Georgia"/>
          <w:sz w:val="22"/>
          <w:szCs w:val="22"/>
        </w:rPr>
        <w:lastRenderedPageBreak/>
        <w:t xml:space="preserve">painted backdrop. In performance, </w:t>
      </w:r>
      <w:r w:rsidRPr="000F458D">
        <w:rPr>
          <w:rFonts w:ascii="Georgia" w:hAnsi="Georgia"/>
          <w:i/>
          <w:iCs/>
          <w:sz w:val="22"/>
          <w:szCs w:val="22"/>
        </w:rPr>
        <w:t>Façade</w:t>
      </w:r>
      <w:r w:rsidRPr="000F458D">
        <w:rPr>
          <w:rFonts w:ascii="Georgia" w:hAnsi="Georgia"/>
          <w:sz w:val="22"/>
          <w:szCs w:val="22"/>
        </w:rPr>
        <w:t xml:space="preserve"> is modernism in action, a brilliant imaginative, </w:t>
      </w:r>
      <w:r w:rsidRPr="000F458D">
        <w:rPr>
          <w:rFonts w:ascii="Georgia" w:hAnsi="Georgia"/>
          <w:sz w:val="22"/>
          <w:szCs w:val="22"/>
        </w:rPr>
        <w:t>kaleidoscopic</w:t>
      </w:r>
      <w:r w:rsidRPr="000F458D">
        <w:rPr>
          <w:rFonts w:ascii="Georgia" w:hAnsi="Georgia"/>
          <w:sz w:val="22"/>
          <w:szCs w:val="22"/>
        </w:rPr>
        <w:t xml:space="preserve"> treatment of language.</w:t>
      </w:r>
    </w:p>
    <w:p w14:paraId="0F2A216C" w14:textId="77777777" w:rsidR="00083C0C" w:rsidRPr="000F458D" w:rsidRDefault="00083C0C" w:rsidP="00083C0C">
      <w:pPr>
        <w:spacing w:line="360" w:lineRule="auto"/>
        <w:rPr>
          <w:rFonts w:ascii="Georgia" w:hAnsi="Georgia"/>
          <w:sz w:val="22"/>
          <w:szCs w:val="22"/>
        </w:rPr>
      </w:pPr>
      <w:r w:rsidRPr="000F458D">
        <w:rPr>
          <w:rFonts w:ascii="Georgia" w:hAnsi="Georgia"/>
          <w:sz w:val="22"/>
          <w:szCs w:val="22"/>
        </w:rPr>
        <w:t>Our suggested readings to accompany the performance includes biographical works about the composer and poet, while exploring more broadly the poetic use of language, abstraction, and modernism in a variety of contexts.</w:t>
      </w:r>
    </w:p>
    <w:p w14:paraId="0A0914F7" w14:textId="59B760E0" w:rsidR="00083C0C" w:rsidRPr="000F458D" w:rsidRDefault="00083C0C" w:rsidP="00083C0C">
      <w:pPr>
        <w:rPr>
          <w:rFonts w:ascii="Georgia" w:hAnsi="Georgia"/>
          <w:sz w:val="22"/>
          <w:szCs w:val="22"/>
        </w:rPr>
      </w:pPr>
      <w:hyperlink r:id="rId6" w:history="1">
        <w:r w:rsidRPr="000F458D">
          <w:rPr>
            <w:rStyle w:val="Hyperlink"/>
            <w:rFonts w:ascii="Georgia" w:hAnsi="Georgia"/>
            <w:sz w:val="22"/>
            <w:szCs w:val="22"/>
          </w:rPr>
          <w:t xml:space="preserve">Edith Sitwell: a unicorn among lions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Victoria </w:t>
        </w:r>
        <w:r w:rsidRPr="000F458D">
          <w:rPr>
            <w:rStyle w:val="Hyperlink"/>
            <w:rFonts w:ascii="Georgia" w:hAnsi="Georgia"/>
            <w:sz w:val="22"/>
            <w:szCs w:val="22"/>
          </w:rPr>
          <w:t>Glendinning</w:t>
        </w:r>
        <w:r w:rsidRPr="000F458D">
          <w:rPr>
            <w:rStyle w:val="Hyperlink"/>
            <w:rFonts w:ascii="Georgia" w:hAnsi="Georgia"/>
            <w:sz w:val="22"/>
            <w:szCs w:val="22"/>
          </w:rPr>
          <w:t xml:space="preserve"> </w:t>
        </w:r>
      </w:hyperlink>
    </w:p>
    <w:p w14:paraId="1976070C" w14:textId="75F29D09" w:rsidR="00083C0C" w:rsidRPr="000F458D" w:rsidRDefault="00083C0C" w:rsidP="00083C0C">
      <w:pPr>
        <w:rPr>
          <w:rFonts w:ascii="Georgia" w:hAnsi="Georgia"/>
          <w:sz w:val="22"/>
          <w:szCs w:val="22"/>
        </w:rPr>
      </w:pPr>
      <w:hyperlink r:id="rId7" w:history="1">
        <w:r w:rsidRPr="000F458D">
          <w:rPr>
            <w:rStyle w:val="Hyperlink"/>
            <w:rFonts w:ascii="Georgia" w:hAnsi="Georgia"/>
            <w:sz w:val="22"/>
            <w:szCs w:val="22"/>
          </w:rPr>
          <w:t>Portrait of Walton</w:t>
        </w:r>
        <w:r w:rsidRPr="000F458D">
          <w:rPr>
            <w:rStyle w:val="Hyperlink"/>
            <w:rFonts w:ascii="Georgia" w:hAnsi="Georgia"/>
            <w:sz w:val="22"/>
            <w:szCs w:val="22"/>
          </w:rPr>
          <w:t xml:space="preserve"> | Michael </w:t>
        </w:r>
        <w:r w:rsidRPr="000F458D">
          <w:rPr>
            <w:rStyle w:val="Hyperlink"/>
            <w:rFonts w:ascii="Georgia" w:hAnsi="Georgia"/>
            <w:sz w:val="22"/>
            <w:szCs w:val="22"/>
          </w:rPr>
          <w:t>Kennedy</w:t>
        </w:r>
      </w:hyperlink>
    </w:p>
    <w:p w14:paraId="04B3BE0A" w14:textId="3DF128F5" w:rsidR="00083C0C" w:rsidRPr="000F458D" w:rsidRDefault="00083C0C" w:rsidP="00083C0C">
      <w:pPr>
        <w:rPr>
          <w:rFonts w:ascii="Georgia" w:hAnsi="Georgia"/>
          <w:sz w:val="22"/>
          <w:szCs w:val="22"/>
        </w:rPr>
      </w:pPr>
      <w:hyperlink r:id="rId8" w:history="1">
        <w:r w:rsidRPr="000F458D">
          <w:rPr>
            <w:rStyle w:val="Hyperlink"/>
            <w:rFonts w:ascii="Georgia" w:hAnsi="Georgia"/>
            <w:sz w:val="22"/>
            <w:szCs w:val="22"/>
          </w:rPr>
          <w:t xml:space="preserve">Collected poems | </w:t>
        </w:r>
        <w:r w:rsidRPr="000F458D">
          <w:rPr>
            <w:rStyle w:val="Hyperlink"/>
            <w:rFonts w:ascii="Georgia" w:hAnsi="Georgia"/>
            <w:sz w:val="22"/>
            <w:szCs w:val="22"/>
          </w:rPr>
          <w:t xml:space="preserve">Edith </w:t>
        </w:r>
        <w:r w:rsidRPr="000F458D">
          <w:rPr>
            <w:rStyle w:val="Hyperlink"/>
            <w:rFonts w:ascii="Georgia" w:hAnsi="Georgia"/>
            <w:sz w:val="22"/>
            <w:szCs w:val="22"/>
          </w:rPr>
          <w:t>Sitwell</w:t>
        </w:r>
      </w:hyperlink>
    </w:p>
    <w:p w14:paraId="5FF91D7E" w14:textId="3D41EA61" w:rsidR="00083C0C" w:rsidRPr="000F458D" w:rsidRDefault="00083C0C" w:rsidP="00083C0C">
      <w:pPr>
        <w:rPr>
          <w:rFonts w:ascii="Georgia" w:hAnsi="Georgia"/>
          <w:sz w:val="22"/>
          <w:szCs w:val="22"/>
        </w:rPr>
      </w:pPr>
      <w:hyperlink r:id="rId9" w:history="1">
        <w:r w:rsidRPr="000F458D">
          <w:rPr>
            <w:rStyle w:val="Hyperlink"/>
            <w:rFonts w:ascii="Georgia" w:hAnsi="Georgia"/>
            <w:sz w:val="22"/>
            <w:szCs w:val="22"/>
          </w:rPr>
          <w:t>The music of time: poetry in the twentieth century</w:t>
        </w:r>
        <w:r w:rsidRPr="000F458D">
          <w:rPr>
            <w:rStyle w:val="Hyperlink"/>
            <w:rFonts w:ascii="Georgia" w:hAnsi="Georgia"/>
            <w:sz w:val="22"/>
            <w:szCs w:val="22"/>
          </w:rPr>
          <w:t xml:space="preserve"> |</w:t>
        </w:r>
        <w:r w:rsidRPr="000F458D">
          <w:rPr>
            <w:rStyle w:val="Hyperlink"/>
            <w:rFonts w:ascii="Georgia" w:hAnsi="Georgia"/>
            <w:sz w:val="22"/>
            <w:szCs w:val="22"/>
          </w:rPr>
          <w:t xml:space="preserve"> </w:t>
        </w:r>
        <w:r w:rsidRPr="000F458D">
          <w:rPr>
            <w:rStyle w:val="Hyperlink"/>
            <w:rFonts w:ascii="Georgia" w:hAnsi="Georgia"/>
            <w:sz w:val="22"/>
            <w:szCs w:val="22"/>
          </w:rPr>
          <w:t xml:space="preserve">John </w:t>
        </w:r>
        <w:r w:rsidRPr="000F458D">
          <w:rPr>
            <w:rStyle w:val="Hyperlink"/>
            <w:rFonts w:ascii="Georgia" w:hAnsi="Georgia"/>
            <w:sz w:val="22"/>
            <w:szCs w:val="22"/>
          </w:rPr>
          <w:t>Burnside</w:t>
        </w:r>
      </w:hyperlink>
    </w:p>
    <w:p w14:paraId="13850BAD" w14:textId="1C97B2B3" w:rsidR="00083C0C" w:rsidRPr="000F458D" w:rsidRDefault="00083C0C" w:rsidP="00083C0C">
      <w:pPr>
        <w:rPr>
          <w:rFonts w:ascii="Georgia" w:hAnsi="Georgia"/>
          <w:sz w:val="22"/>
          <w:szCs w:val="22"/>
        </w:rPr>
      </w:pPr>
      <w:hyperlink r:id="rId10" w:history="1">
        <w:proofErr w:type="spellStart"/>
        <w:r w:rsidRPr="000F458D">
          <w:rPr>
            <w:rStyle w:val="Hyperlink"/>
            <w:rFonts w:ascii="Georgia" w:hAnsi="Georgia"/>
            <w:sz w:val="22"/>
            <w:szCs w:val="22"/>
          </w:rPr>
          <w:t>Alphaman</w:t>
        </w:r>
        <w:r w:rsidRPr="000F458D">
          <w:rPr>
            <w:rStyle w:val="Hyperlink"/>
            <w:rFonts w:ascii="Georgia" w:hAnsi="Georgia"/>
            <w:sz w:val="22"/>
            <w:szCs w:val="22"/>
          </w:rPr>
          <w:t>i</w:t>
        </w:r>
        <w:r w:rsidRPr="000F458D">
          <w:rPr>
            <w:rStyle w:val="Hyperlink"/>
            <w:rFonts w:ascii="Georgia" w:hAnsi="Georgia"/>
            <w:sz w:val="22"/>
            <w:szCs w:val="22"/>
          </w:rPr>
          <w:t>acs</w:t>
        </w:r>
        <w:proofErr w:type="spellEnd"/>
        <w:r w:rsidRPr="000F458D">
          <w:rPr>
            <w:rStyle w:val="Hyperlink"/>
            <w:rFonts w:ascii="Georgia" w:hAnsi="Georgia"/>
            <w:sz w:val="22"/>
            <w:szCs w:val="22"/>
          </w:rPr>
          <w:t>: builders of 26 wonders of the word /</w:t>
        </w:r>
        <w:r w:rsidRPr="000F458D">
          <w:rPr>
            <w:rStyle w:val="Hyperlink"/>
            <w:rFonts w:ascii="Georgia" w:hAnsi="Georgia"/>
            <w:sz w:val="22"/>
            <w:szCs w:val="22"/>
          </w:rPr>
          <w:t xml:space="preserve"> Paul</w:t>
        </w:r>
        <w:r w:rsidRPr="000F458D">
          <w:rPr>
            <w:rStyle w:val="Hyperlink"/>
            <w:rFonts w:ascii="Georgia" w:hAnsi="Georgia"/>
            <w:sz w:val="22"/>
            <w:szCs w:val="22"/>
          </w:rPr>
          <w:t xml:space="preserve"> Fleischman</w:t>
        </w:r>
      </w:hyperlink>
    </w:p>
    <w:p w14:paraId="721DA46A" w14:textId="170E7A89" w:rsidR="00083C0C" w:rsidRPr="000F458D" w:rsidRDefault="00083C0C" w:rsidP="00083C0C">
      <w:pPr>
        <w:rPr>
          <w:rFonts w:ascii="Georgia" w:hAnsi="Georgia"/>
          <w:sz w:val="22"/>
          <w:szCs w:val="22"/>
        </w:rPr>
      </w:pPr>
      <w:hyperlink r:id="rId11" w:history="1">
        <w:r w:rsidRPr="000F458D">
          <w:rPr>
            <w:rStyle w:val="Hyperlink"/>
            <w:rFonts w:ascii="Georgia" w:hAnsi="Georgia"/>
            <w:sz w:val="22"/>
            <w:szCs w:val="22"/>
          </w:rPr>
          <w:t xml:space="preserve">Scholars, poets &amp; radicals: discovering forgotten lives in the Blackwell Collections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Rita </w:t>
        </w:r>
        <w:r w:rsidRPr="000F458D">
          <w:rPr>
            <w:rStyle w:val="Hyperlink"/>
            <w:rFonts w:ascii="Georgia" w:hAnsi="Georgia"/>
            <w:sz w:val="22"/>
            <w:szCs w:val="22"/>
          </w:rPr>
          <w:t>Ricketts</w:t>
        </w:r>
      </w:hyperlink>
    </w:p>
    <w:p w14:paraId="76397C07" w14:textId="58918D10" w:rsidR="00083C0C" w:rsidRPr="000F458D" w:rsidRDefault="00083C0C" w:rsidP="00083C0C">
      <w:pPr>
        <w:rPr>
          <w:rFonts w:ascii="Georgia" w:hAnsi="Georgia"/>
          <w:sz w:val="22"/>
          <w:szCs w:val="22"/>
        </w:rPr>
      </w:pPr>
      <w:hyperlink r:id="rId12" w:history="1">
        <w:r w:rsidRPr="000F458D">
          <w:rPr>
            <w:rStyle w:val="Hyperlink"/>
            <w:rFonts w:ascii="Georgia" w:hAnsi="Georgia"/>
            <w:sz w:val="22"/>
            <w:szCs w:val="22"/>
          </w:rPr>
          <w:t xml:space="preserve">Modern: genius, madness, and one tumultuous decade that changed art forever </w:t>
        </w:r>
        <w:r w:rsidRPr="000F458D">
          <w:rPr>
            <w:rStyle w:val="Hyperlink"/>
            <w:rFonts w:ascii="Georgia" w:hAnsi="Georgia"/>
            <w:sz w:val="22"/>
            <w:szCs w:val="22"/>
          </w:rPr>
          <w:t xml:space="preserve">|Paul Hook </w:t>
        </w:r>
      </w:hyperlink>
    </w:p>
    <w:p w14:paraId="16580CC2" w14:textId="7C8578CA" w:rsidR="00083C0C" w:rsidRPr="000F458D" w:rsidRDefault="00083C0C" w:rsidP="00083C0C">
      <w:pPr>
        <w:rPr>
          <w:rFonts w:ascii="Georgia" w:hAnsi="Georgia"/>
          <w:sz w:val="22"/>
          <w:szCs w:val="22"/>
        </w:rPr>
      </w:pPr>
      <w:hyperlink r:id="rId13" w:history="1">
        <w:r w:rsidRPr="000F458D">
          <w:rPr>
            <w:rStyle w:val="Hyperlink"/>
            <w:rFonts w:ascii="Georgia" w:hAnsi="Georgia"/>
            <w:sz w:val="22"/>
            <w:szCs w:val="22"/>
          </w:rPr>
          <w:t xml:space="preserve">The language game: how improvisation created language and changed the world </w:t>
        </w:r>
        <w:r w:rsidRPr="000F458D">
          <w:rPr>
            <w:rStyle w:val="Hyperlink"/>
            <w:rFonts w:ascii="Georgia" w:hAnsi="Georgia"/>
            <w:sz w:val="22"/>
            <w:szCs w:val="22"/>
          </w:rPr>
          <w:t xml:space="preserve">| Morten H. </w:t>
        </w:r>
        <w:r w:rsidRPr="000F458D">
          <w:rPr>
            <w:rStyle w:val="Hyperlink"/>
            <w:rFonts w:ascii="Georgia" w:hAnsi="Georgia"/>
            <w:sz w:val="22"/>
            <w:szCs w:val="22"/>
          </w:rPr>
          <w:t>Christiansen</w:t>
        </w:r>
      </w:hyperlink>
    </w:p>
    <w:p w14:paraId="4AEE3DD3" w14:textId="6D093A1A" w:rsidR="00083C0C" w:rsidRPr="000F458D" w:rsidRDefault="00083C0C" w:rsidP="00083C0C">
      <w:pPr>
        <w:rPr>
          <w:rFonts w:ascii="Georgia" w:hAnsi="Georgia"/>
          <w:sz w:val="22"/>
          <w:szCs w:val="22"/>
        </w:rPr>
      </w:pPr>
      <w:hyperlink r:id="rId14" w:history="1">
        <w:r w:rsidRPr="000F458D">
          <w:rPr>
            <w:rStyle w:val="Hyperlink"/>
            <w:rFonts w:ascii="Georgia" w:hAnsi="Georgia"/>
            <w:sz w:val="22"/>
            <w:szCs w:val="22"/>
          </w:rPr>
          <w:t xml:space="preserve">The annotated Alice: Alice's adventures in Wonderland &amp; Through the </w:t>
        </w:r>
        <w:proofErr w:type="gramStart"/>
        <w:r w:rsidRPr="000F458D">
          <w:rPr>
            <w:rStyle w:val="Hyperlink"/>
            <w:rFonts w:ascii="Georgia" w:hAnsi="Georgia"/>
            <w:sz w:val="22"/>
            <w:szCs w:val="22"/>
          </w:rPr>
          <w:t>looking-glass</w:t>
        </w:r>
        <w:proofErr w:type="gramEnd"/>
        <w:r w:rsidRPr="000F458D">
          <w:rPr>
            <w:rStyle w:val="Hyperlink"/>
            <w:rFonts w:ascii="Georgia" w:hAnsi="Georgia"/>
            <w:sz w:val="22"/>
            <w:szCs w:val="22"/>
          </w:rPr>
          <w:t xml:space="preserve">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Lewis </w:t>
        </w:r>
        <w:r w:rsidRPr="000F458D">
          <w:rPr>
            <w:rStyle w:val="Hyperlink"/>
            <w:rFonts w:ascii="Georgia" w:hAnsi="Georgia"/>
            <w:sz w:val="22"/>
            <w:szCs w:val="22"/>
          </w:rPr>
          <w:t>Carroll, Lewis</w:t>
        </w:r>
      </w:hyperlink>
    </w:p>
    <w:p w14:paraId="30C6AF34" w14:textId="3CA4E1A0" w:rsidR="00083C0C" w:rsidRPr="000F458D" w:rsidRDefault="00083C0C" w:rsidP="00083C0C">
      <w:pPr>
        <w:rPr>
          <w:rFonts w:ascii="Georgia" w:hAnsi="Georgia"/>
          <w:sz w:val="22"/>
          <w:szCs w:val="22"/>
        </w:rPr>
      </w:pPr>
      <w:hyperlink r:id="rId15" w:history="1">
        <w:r w:rsidRPr="000F458D">
          <w:rPr>
            <w:rStyle w:val="Hyperlink"/>
            <w:rFonts w:ascii="Georgia" w:hAnsi="Georgia"/>
            <w:sz w:val="22"/>
            <w:szCs w:val="22"/>
          </w:rPr>
          <w:t xml:space="preserve">The poets of Rapallo: how Mussolini's Italy shaped British, Irish, and U.S. writers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Lauren </w:t>
        </w:r>
        <w:r w:rsidRPr="000F458D">
          <w:rPr>
            <w:rStyle w:val="Hyperlink"/>
            <w:rFonts w:ascii="Georgia" w:hAnsi="Georgia"/>
            <w:sz w:val="22"/>
            <w:szCs w:val="22"/>
          </w:rPr>
          <w:t>Arrington</w:t>
        </w:r>
      </w:hyperlink>
    </w:p>
    <w:p w14:paraId="513C38C7" w14:textId="518D39D1" w:rsidR="00083C0C" w:rsidRPr="000F458D" w:rsidRDefault="00083C0C" w:rsidP="00083C0C">
      <w:pPr>
        <w:rPr>
          <w:rFonts w:ascii="Georgia" w:hAnsi="Georgia"/>
          <w:sz w:val="22"/>
          <w:szCs w:val="22"/>
        </w:rPr>
      </w:pPr>
      <w:hyperlink r:id="rId16" w:history="1">
        <w:r w:rsidRPr="000F458D">
          <w:rPr>
            <w:rStyle w:val="Hyperlink"/>
            <w:rFonts w:ascii="Georgia" w:hAnsi="Georgia"/>
            <w:sz w:val="22"/>
            <w:szCs w:val="22"/>
          </w:rPr>
          <w:t>Ulysses</w:t>
        </w:r>
        <w:r w:rsidRPr="000F458D">
          <w:rPr>
            <w:rStyle w:val="Hyperlink"/>
            <w:rFonts w:ascii="Georgia" w:hAnsi="Georgia"/>
            <w:sz w:val="22"/>
            <w:szCs w:val="22"/>
          </w:rPr>
          <w:t xml:space="preserve"> | James Joyce</w:t>
        </w:r>
        <w:r w:rsidRPr="000F458D">
          <w:rPr>
            <w:rStyle w:val="Hyperlink"/>
            <w:rFonts w:ascii="Georgia" w:hAnsi="Georgia"/>
            <w:sz w:val="22"/>
            <w:szCs w:val="22"/>
          </w:rPr>
          <w:t xml:space="preserve"> </w:t>
        </w:r>
      </w:hyperlink>
    </w:p>
    <w:p w14:paraId="0E5B10CC" w14:textId="0BCD3720" w:rsidR="00083C0C" w:rsidRPr="000F458D" w:rsidRDefault="00083C0C" w:rsidP="00083C0C">
      <w:pPr>
        <w:rPr>
          <w:rFonts w:ascii="Georgia" w:hAnsi="Georgia"/>
          <w:sz w:val="22"/>
          <w:szCs w:val="22"/>
        </w:rPr>
      </w:pPr>
      <w:hyperlink r:id="rId17" w:history="1">
        <w:r w:rsidRPr="000F458D">
          <w:rPr>
            <w:rStyle w:val="Hyperlink"/>
            <w:rFonts w:ascii="Georgia" w:hAnsi="Georgia"/>
            <w:sz w:val="22"/>
            <w:szCs w:val="22"/>
          </w:rPr>
          <w:t xml:space="preserve">Sacred monsters: profiles of friends and foes: Capote, Garbo, Braque, and others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John </w:t>
        </w:r>
        <w:r w:rsidRPr="000F458D">
          <w:rPr>
            <w:rStyle w:val="Hyperlink"/>
            <w:rFonts w:ascii="Georgia" w:hAnsi="Georgia"/>
            <w:sz w:val="22"/>
            <w:szCs w:val="22"/>
          </w:rPr>
          <w:t>Richardson</w:t>
        </w:r>
      </w:hyperlink>
    </w:p>
    <w:p w14:paraId="56A0282B" w14:textId="42DC3E0B" w:rsidR="00083C0C" w:rsidRPr="000F458D" w:rsidRDefault="00083C0C" w:rsidP="00083C0C">
      <w:pPr>
        <w:rPr>
          <w:rFonts w:ascii="Georgia" w:hAnsi="Georgia"/>
          <w:sz w:val="22"/>
          <w:szCs w:val="22"/>
        </w:rPr>
      </w:pPr>
      <w:hyperlink r:id="rId18" w:history="1">
        <w:r w:rsidRPr="000F458D">
          <w:rPr>
            <w:rStyle w:val="Hyperlink"/>
            <w:rFonts w:ascii="Georgia" w:hAnsi="Georgia"/>
            <w:sz w:val="22"/>
            <w:szCs w:val="22"/>
          </w:rPr>
          <w:t xml:space="preserve">A concise </w:t>
        </w:r>
        <w:proofErr w:type="gramStart"/>
        <w:r w:rsidRPr="000F458D">
          <w:rPr>
            <w:rStyle w:val="Hyperlink"/>
            <w:rFonts w:ascii="Georgia" w:hAnsi="Georgia"/>
            <w:sz w:val="22"/>
            <w:szCs w:val="22"/>
          </w:rPr>
          <w:t>Chinese-English</w:t>
        </w:r>
        <w:proofErr w:type="gramEnd"/>
        <w:r w:rsidRPr="000F458D">
          <w:rPr>
            <w:rStyle w:val="Hyperlink"/>
            <w:rFonts w:ascii="Georgia" w:hAnsi="Georgia"/>
            <w:sz w:val="22"/>
            <w:szCs w:val="22"/>
          </w:rPr>
          <w:t xml:space="preserve"> dictionary for lovers </w:t>
        </w:r>
        <w:r w:rsidRPr="000F458D">
          <w:rPr>
            <w:rStyle w:val="Hyperlink"/>
            <w:rFonts w:ascii="Georgia" w:hAnsi="Georgia"/>
            <w:sz w:val="22"/>
            <w:szCs w:val="22"/>
          </w:rPr>
          <w:t>| Xiaolu</w:t>
        </w:r>
        <w:r w:rsidRPr="000F458D">
          <w:rPr>
            <w:rStyle w:val="Hyperlink"/>
            <w:rFonts w:ascii="Georgia" w:hAnsi="Georgia"/>
            <w:sz w:val="22"/>
            <w:szCs w:val="22"/>
          </w:rPr>
          <w:t xml:space="preserve"> Guo</w:t>
        </w:r>
      </w:hyperlink>
    </w:p>
    <w:p w14:paraId="5931CD17" w14:textId="0F861AB2" w:rsidR="00083C0C" w:rsidRPr="000F458D" w:rsidRDefault="00083C0C" w:rsidP="00083C0C">
      <w:pPr>
        <w:rPr>
          <w:rFonts w:ascii="Georgia" w:hAnsi="Georgia"/>
          <w:sz w:val="22"/>
          <w:szCs w:val="22"/>
        </w:rPr>
      </w:pPr>
      <w:hyperlink r:id="rId19" w:history="1">
        <w:r w:rsidRPr="000F458D">
          <w:rPr>
            <w:rStyle w:val="Hyperlink"/>
            <w:rFonts w:ascii="Georgia" w:hAnsi="Georgia"/>
            <w:sz w:val="22"/>
            <w:szCs w:val="22"/>
          </w:rPr>
          <w:t>1922: scenes from a turbulent year</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Nick </w:t>
        </w:r>
        <w:r w:rsidRPr="000F458D">
          <w:rPr>
            <w:rStyle w:val="Hyperlink"/>
            <w:rFonts w:ascii="Georgia" w:hAnsi="Georgia"/>
            <w:sz w:val="22"/>
            <w:szCs w:val="22"/>
          </w:rPr>
          <w:t>Rennison</w:t>
        </w:r>
      </w:hyperlink>
    </w:p>
    <w:p w14:paraId="6695D288" w14:textId="572A9185" w:rsidR="00083C0C" w:rsidRPr="000F458D" w:rsidRDefault="00083C0C" w:rsidP="00083C0C">
      <w:pPr>
        <w:rPr>
          <w:rFonts w:ascii="Georgia" w:hAnsi="Georgia"/>
          <w:sz w:val="22"/>
          <w:szCs w:val="22"/>
        </w:rPr>
      </w:pPr>
      <w:hyperlink r:id="rId20" w:history="1">
        <w:r w:rsidRPr="000F458D">
          <w:rPr>
            <w:rStyle w:val="Hyperlink"/>
            <w:rFonts w:ascii="Georgia" w:hAnsi="Georgia"/>
            <w:sz w:val="22"/>
            <w:szCs w:val="22"/>
          </w:rPr>
          <w:t xml:space="preserve">Language: the cultural tool </w:t>
        </w:r>
        <w:r w:rsidRPr="000F458D">
          <w:rPr>
            <w:rStyle w:val="Hyperlink"/>
            <w:rFonts w:ascii="Georgia" w:hAnsi="Georgia"/>
            <w:sz w:val="22"/>
            <w:szCs w:val="22"/>
          </w:rPr>
          <w:t>|</w:t>
        </w:r>
        <w:r w:rsidRPr="000F458D">
          <w:rPr>
            <w:rStyle w:val="Hyperlink"/>
            <w:rFonts w:ascii="Georgia" w:hAnsi="Georgia"/>
            <w:sz w:val="22"/>
            <w:szCs w:val="22"/>
          </w:rPr>
          <w:t xml:space="preserve"> </w:t>
        </w:r>
        <w:r w:rsidRPr="000F458D">
          <w:rPr>
            <w:rStyle w:val="Hyperlink"/>
            <w:rFonts w:ascii="Georgia" w:hAnsi="Georgia"/>
            <w:sz w:val="22"/>
            <w:szCs w:val="22"/>
          </w:rPr>
          <w:t xml:space="preserve">Daniel Leonard </w:t>
        </w:r>
        <w:r w:rsidRPr="000F458D">
          <w:rPr>
            <w:rStyle w:val="Hyperlink"/>
            <w:rFonts w:ascii="Georgia" w:hAnsi="Georgia"/>
            <w:sz w:val="22"/>
            <w:szCs w:val="22"/>
          </w:rPr>
          <w:t>Everett</w:t>
        </w:r>
      </w:hyperlink>
    </w:p>
    <w:p w14:paraId="1CBA89D2" w14:textId="62168258" w:rsidR="00083C0C" w:rsidRPr="000F458D" w:rsidRDefault="00083C0C" w:rsidP="00083C0C">
      <w:pPr>
        <w:rPr>
          <w:rFonts w:ascii="Georgia" w:hAnsi="Georgia"/>
          <w:sz w:val="22"/>
          <w:szCs w:val="22"/>
        </w:rPr>
      </w:pPr>
      <w:hyperlink r:id="rId21" w:history="1">
        <w:r w:rsidRPr="000F458D">
          <w:rPr>
            <w:rStyle w:val="Hyperlink"/>
            <w:rFonts w:ascii="Georgia" w:hAnsi="Georgia"/>
            <w:sz w:val="22"/>
            <w:szCs w:val="22"/>
          </w:rPr>
          <w:t xml:space="preserve">Creative gatherings: meeting places of modernism </w:t>
        </w:r>
        <w:r w:rsidRPr="000F458D">
          <w:rPr>
            <w:rStyle w:val="Hyperlink"/>
            <w:rFonts w:ascii="Georgia" w:hAnsi="Georgia"/>
            <w:sz w:val="22"/>
            <w:szCs w:val="22"/>
          </w:rPr>
          <w:t>| Mary Ann</w:t>
        </w:r>
        <w:r w:rsidRPr="000F458D">
          <w:rPr>
            <w:rStyle w:val="Hyperlink"/>
            <w:rFonts w:ascii="Georgia" w:hAnsi="Georgia"/>
            <w:sz w:val="22"/>
            <w:szCs w:val="22"/>
          </w:rPr>
          <w:t xml:space="preserve"> Caws</w:t>
        </w:r>
      </w:hyperlink>
    </w:p>
    <w:p w14:paraId="35715C36" w14:textId="77777777" w:rsidR="00083C0C" w:rsidRPr="000F458D" w:rsidRDefault="00083C0C">
      <w:pPr>
        <w:rPr>
          <w:rFonts w:ascii="Georgia" w:hAnsi="Georgia"/>
          <w:sz w:val="22"/>
          <w:szCs w:val="22"/>
        </w:rPr>
      </w:pPr>
    </w:p>
    <w:sectPr w:rsidR="00083C0C" w:rsidRPr="000F45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0C"/>
    <w:rsid w:val="00083C0C"/>
    <w:rsid w:val="000F458D"/>
    <w:rsid w:val="004C2733"/>
    <w:rsid w:val="00891FB6"/>
    <w:rsid w:val="00BD3F9D"/>
    <w:rsid w:val="00C206D5"/>
    <w:rsid w:val="00E8022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BE31"/>
  <w15:chartTrackingRefBased/>
  <w15:docId w15:val="{6983548B-07A0-43E8-B25D-6FB20133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C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C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C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C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C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C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C0C"/>
    <w:rPr>
      <w:rFonts w:eastAsiaTheme="majorEastAsia" w:cstheme="majorBidi"/>
      <w:color w:val="272727" w:themeColor="text1" w:themeTint="D8"/>
    </w:rPr>
  </w:style>
  <w:style w:type="paragraph" w:styleId="Title">
    <w:name w:val="Title"/>
    <w:basedOn w:val="Normal"/>
    <w:next w:val="Normal"/>
    <w:link w:val="TitleChar"/>
    <w:uiPriority w:val="10"/>
    <w:qFormat/>
    <w:rsid w:val="00083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C0C"/>
    <w:pPr>
      <w:spacing w:before="160"/>
      <w:jc w:val="center"/>
    </w:pPr>
    <w:rPr>
      <w:i/>
      <w:iCs/>
      <w:color w:val="404040" w:themeColor="text1" w:themeTint="BF"/>
    </w:rPr>
  </w:style>
  <w:style w:type="character" w:customStyle="1" w:styleId="QuoteChar">
    <w:name w:val="Quote Char"/>
    <w:basedOn w:val="DefaultParagraphFont"/>
    <w:link w:val="Quote"/>
    <w:uiPriority w:val="29"/>
    <w:rsid w:val="00083C0C"/>
    <w:rPr>
      <w:i/>
      <w:iCs/>
      <w:color w:val="404040" w:themeColor="text1" w:themeTint="BF"/>
    </w:rPr>
  </w:style>
  <w:style w:type="paragraph" w:styleId="ListParagraph">
    <w:name w:val="List Paragraph"/>
    <w:basedOn w:val="Normal"/>
    <w:uiPriority w:val="34"/>
    <w:qFormat/>
    <w:rsid w:val="00083C0C"/>
    <w:pPr>
      <w:ind w:left="720"/>
      <w:contextualSpacing/>
    </w:pPr>
  </w:style>
  <w:style w:type="character" w:styleId="IntenseEmphasis">
    <w:name w:val="Intense Emphasis"/>
    <w:basedOn w:val="DefaultParagraphFont"/>
    <w:uiPriority w:val="21"/>
    <w:qFormat/>
    <w:rsid w:val="00083C0C"/>
    <w:rPr>
      <w:i/>
      <w:iCs/>
      <w:color w:val="0F4761" w:themeColor="accent1" w:themeShade="BF"/>
    </w:rPr>
  </w:style>
  <w:style w:type="paragraph" w:styleId="IntenseQuote">
    <w:name w:val="Intense Quote"/>
    <w:basedOn w:val="Normal"/>
    <w:next w:val="Normal"/>
    <w:link w:val="IntenseQuoteChar"/>
    <w:uiPriority w:val="30"/>
    <w:qFormat/>
    <w:rsid w:val="00083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C0C"/>
    <w:rPr>
      <w:i/>
      <w:iCs/>
      <w:color w:val="0F4761" w:themeColor="accent1" w:themeShade="BF"/>
    </w:rPr>
  </w:style>
  <w:style w:type="character" w:styleId="IntenseReference">
    <w:name w:val="Intense Reference"/>
    <w:basedOn w:val="DefaultParagraphFont"/>
    <w:uiPriority w:val="32"/>
    <w:qFormat/>
    <w:rsid w:val="00083C0C"/>
    <w:rPr>
      <w:b/>
      <w:bCs/>
      <w:smallCaps/>
      <w:color w:val="0F4761" w:themeColor="accent1" w:themeShade="BF"/>
      <w:spacing w:val="5"/>
    </w:rPr>
  </w:style>
  <w:style w:type="character" w:styleId="Hyperlink">
    <w:name w:val="Hyperlink"/>
    <w:basedOn w:val="DefaultParagraphFont"/>
    <w:uiPriority w:val="99"/>
    <w:unhideWhenUsed/>
    <w:rsid w:val="00083C0C"/>
    <w:rPr>
      <w:color w:val="467886" w:themeColor="hyperlink"/>
      <w:u w:val="single"/>
    </w:rPr>
  </w:style>
  <w:style w:type="character" w:styleId="UnresolvedMention">
    <w:name w:val="Unresolved Mention"/>
    <w:basedOn w:val="DefaultParagraphFont"/>
    <w:uiPriority w:val="99"/>
    <w:semiHidden/>
    <w:unhideWhenUsed/>
    <w:rsid w:val="00083C0C"/>
    <w:rPr>
      <w:color w:val="605E5C"/>
      <w:shd w:val="clear" w:color="auto" w:fill="E1DFDD"/>
    </w:rPr>
  </w:style>
  <w:style w:type="character" w:styleId="FollowedHyperlink">
    <w:name w:val="FollowedHyperlink"/>
    <w:basedOn w:val="DefaultParagraphFont"/>
    <w:uiPriority w:val="99"/>
    <w:semiHidden/>
    <w:unhideWhenUsed/>
    <w:rsid w:val="00083C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ue.wcl.govt.nz/cgi-bin/spydus.exe/ENQ/OPAC/BIBENQ?SBN=0333333918&amp;ISGLB=0" TargetMode="External"/><Relationship Id="rId13" Type="http://schemas.openxmlformats.org/officeDocument/2006/relationships/hyperlink" Target="https://catalogue.wcl.govt.nz/cgi-bin/spydus.exe/ENQ/OPAC/BIBENQ?SBN=9781787633483&amp;ISGLB=0" TargetMode="External"/><Relationship Id="rId18" Type="http://schemas.openxmlformats.org/officeDocument/2006/relationships/hyperlink" Target="https://catalogue.wcl.govt.nz/cgi-bin/spydus.exe/ENQ/OPAC/BIBENQ?SBN=9780701181147&amp;ISGLB=0" TargetMode="External"/><Relationship Id="rId3" Type="http://schemas.openxmlformats.org/officeDocument/2006/relationships/webSettings" Target="webSettings.xml"/><Relationship Id="rId21" Type="http://schemas.openxmlformats.org/officeDocument/2006/relationships/hyperlink" Target="https://catalogue.wcl.govt.nz/cgi-bin/spydus.exe/ENQ/OPAC/BIBENQ?SBN=1789140552978&amp;ISGLB=0" TargetMode="External"/><Relationship Id="rId7" Type="http://schemas.openxmlformats.org/officeDocument/2006/relationships/hyperlink" Target="https://catalogue.wcl.govt.nz/cgi-bin/spydus.exe/ENQ/OPAC/BIBENQ?SBN=0193154188&amp;ISGLB=0" TargetMode="External"/><Relationship Id="rId12" Type="http://schemas.openxmlformats.org/officeDocument/2006/relationships/hyperlink" Target="https://catalogue.wcl.govt.nz/cgi-bin/spydus.exe/ENQ/OPAC/BIBENQ?SBN=9781615198672&amp;ISGLB=0" TargetMode="External"/><Relationship Id="rId17" Type="http://schemas.openxmlformats.org/officeDocument/2006/relationships/hyperlink" Target="https://catalogue.wcl.govt.nz/cgi-bin/spydus.exe/ENQ/OPAC/BIBENQ?SBN=0679424903&amp;ISGLB=0" TargetMode="External"/><Relationship Id="rId2" Type="http://schemas.openxmlformats.org/officeDocument/2006/relationships/settings" Target="settings.xml"/><Relationship Id="rId16" Type="http://schemas.openxmlformats.org/officeDocument/2006/relationships/hyperlink" Target="https://catalogue.wcl.govt.nz/cgi-bin/spydus.exe/ENQ/OPAC/BIBENQ?SBN=9780241405949&amp;ISGLB=0" TargetMode="External"/><Relationship Id="rId20" Type="http://schemas.openxmlformats.org/officeDocument/2006/relationships/hyperlink" Target="https://catalogue.wcl.govt.nz/cgi-bin/spydus.exe/ENQ/OPAC/BIBENQ?SBN=9780307378538&amp;ISGLB=0" TargetMode="External"/><Relationship Id="rId1" Type="http://schemas.openxmlformats.org/officeDocument/2006/relationships/styles" Target="styles.xml"/><Relationship Id="rId6" Type="http://schemas.openxmlformats.org/officeDocument/2006/relationships/hyperlink" Target="https://catalogue.wcl.govt.nz/cgi-bin/spydus.exe/ENQ/OPAC/BIBENQ?SBN=0297778013&amp;ISGLB=0" TargetMode="External"/><Relationship Id="rId11" Type="http://schemas.openxmlformats.org/officeDocument/2006/relationships/hyperlink" Target="https://catalogue.wcl.govt.nz/cgi-bin/spydus.exe/ENQ/OPAC/BIBENQ?SBN=9781851244256&amp;ISGLB=0" TargetMode="External"/><Relationship Id="rId5" Type="http://schemas.openxmlformats.org/officeDocument/2006/relationships/hyperlink" Target="https://orchestrawellington.co.nz/" TargetMode="External"/><Relationship Id="rId15" Type="http://schemas.openxmlformats.org/officeDocument/2006/relationships/hyperlink" Target="https://catalogue.wcl.govt.nz/cgi-bin/spydus.exe/ENQ/OPAC/BIBENQ?SBN=9780198846543&amp;ISGLB=0" TargetMode="External"/><Relationship Id="rId23" Type="http://schemas.openxmlformats.org/officeDocument/2006/relationships/theme" Target="theme/theme1.xml"/><Relationship Id="rId10" Type="http://schemas.openxmlformats.org/officeDocument/2006/relationships/hyperlink" Target="https://catalogue.wcl.govt.nz/cgi-bin/spydus.exe/ENQ/OPAC/BIBENQ?SBN=9780763690663&amp;ISGLB=0" TargetMode="External"/><Relationship Id="rId19" Type="http://schemas.openxmlformats.org/officeDocument/2006/relationships/hyperlink" Target="https://catalogue.wcl.govt.nz/cgi-bin/spydus.exe/ENQ/OPAC/BIBENQ?SBN=9780857304674&amp;ISGLB=0" TargetMode="External"/><Relationship Id="rId4" Type="http://schemas.openxmlformats.org/officeDocument/2006/relationships/hyperlink" Target="https://www.nzsq.org.nz/" TargetMode="External"/><Relationship Id="rId9" Type="http://schemas.openxmlformats.org/officeDocument/2006/relationships/hyperlink" Target="https://catalogue.wcl.govt.nz/cgi-bin/spydus.exe/ENQ/OPAC/BIBENQ?SBN=9781781255612&amp;ISGLB=0" TargetMode="External"/><Relationship Id="rId14" Type="http://schemas.openxmlformats.org/officeDocument/2006/relationships/hyperlink" Target="https://catalogue.wcl.govt.nz/cgi-bin/spydus.exe/ENQ/OPAC/BIBENQ?SBN=9780393245431&amp;ISGLB=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917</Words>
  <Characters>5227</Characters>
  <Application>Microsoft Office Word</Application>
  <DocSecurity>0</DocSecurity>
  <Lines>43</Lines>
  <Paragraphs>12</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Corrina Connor</dc:creator>
  <cp:keywords/>
  <dc:description/>
  <cp:lastModifiedBy>Corrina Connor</cp:lastModifiedBy>
  <cp:revision>4</cp:revision>
  <dcterms:created xsi:type="dcterms:W3CDTF">2026-09-11T05:44:00Z</dcterms:created>
  <dcterms:modified xsi:type="dcterms:W3CDTF">2026-09-11T06:10:00Z</dcterms:modified>
</cp:coreProperties>
</file>